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66C1" w:rsidRPr="004C66C1" w:rsidRDefault="004C66C1" w:rsidP="004C66C1">
      <w:pPr>
        <w:rPr>
          <w:rFonts w:ascii="Century" w:eastAsia="ＭＳ 明朝" w:hAnsi="Century" w:cs="Times New Roman"/>
        </w:rPr>
      </w:pPr>
      <w:r w:rsidRPr="004C66C1">
        <w:rPr>
          <w:rFonts w:ascii="Century" w:eastAsia="ＭＳ 明朝" w:hAnsi="Century" w:cs="Times New Roman"/>
          <w:noProof/>
        </w:rPr>
        <w:drawing>
          <wp:inline distT="0" distB="0" distL="0" distR="0" wp14:anchorId="7314A97C" wp14:editId="7AB6F96C">
            <wp:extent cx="5435600" cy="6604000"/>
            <wp:effectExtent l="0" t="0" r="12700" b="6350"/>
            <wp:docPr id="4" name="グラフ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C66C1" w:rsidRPr="004C66C1" w:rsidRDefault="004C66C1" w:rsidP="004C66C1">
      <w:pPr>
        <w:rPr>
          <w:rFonts w:ascii="ＭＳ 明朝" w:eastAsia="ＭＳ 明朝" w:hAnsi="ＭＳ 明朝" w:cs="Times New Roman"/>
          <w:b/>
          <w:sz w:val="24"/>
          <w:szCs w:val="24"/>
        </w:rPr>
      </w:pPr>
      <w:r w:rsidRPr="004C66C1">
        <w:rPr>
          <w:rFonts w:ascii="ＭＳ 明朝" w:eastAsia="ＭＳ 明朝" w:hAnsi="ＭＳ 明朝" w:cs="Times New Roman" w:hint="eastAsia"/>
          <w:b/>
          <w:sz w:val="24"/>
          <w:szCs w:val="24"/>
        </w:rPr>
        <w:t>第６図(A)</w:t>
      </w:r>
      <w:r w:rsidRPr="004C66C1">
        <w:rPr>
          <w:rFonts w:ascii="ＭＳ 明朝" w:eastAsia="ＭＳ 明朝" w:hAnsi="ＭＳ 明朝" w:cs="Times New Roman"/>
          <w:b/>
          <w:sz w:val="24"/>
          <w:szCs w:val="24"/>
        </w:rPr>
        <w:t>．</w:t>
      </w:r>
      <w:r w:rsidRPr="004C66C1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　2018年度採取土壌を用いた土壌細菌分画</w:t>
      </w:r>
      <w:r w:rsidRPr="004C66C1">
        <w:rPr>
          <w:rFonts w:ascii="ＭＳ 明朝" w:eastAsia="ＭＳ 明朝" w:hAnsi="ＭＳ 明朝" w:cs="Times New Roman"/>
          <w:b/>
          <w:sz w:val="24"/>
          <w:szCs w:val="24"/>
        </w:rPr>
        <w:t>の</w:t>
      </w:r>
      <w:r w:rsidRPr="004C66C1">
        <w:rPr>
          <w:rFonts w:ascii="ＭＳ 明朝" w:eastAsia="ＭＳ 明朝" w:hAnsi="ＭＳ 明朝" w:cs="Times New Roman" w:hint="eastAsia"/>
          <w:b/>
          <w:sz w:val="24"/>
          <w:szCs w:val="24"/>
        </w:rPr>
        <w:t>呼吸活性(E)</w:t>
      </w:r>
      <w:r w:rsidRPr="004C66C1">
        <w:rPr>
          <w:rFonts w:ascii="ＭＳ 明朝" w:eastAsia="ＭＳ 明朝" w:hAnsi="ＭＳ 明朝" w:cs="Times New Roman"/>
          <w:b/>
          <w:sz w:val="24"/>
          <w:szCs w:val="24"/>
        </w:rPr>
        <w:t>&amp;(F)を</w:t>
      </w:r>
      <w:r w:rsidRPr="004C66C1">
        <w:rPr>
          <w:rFonts w:ascii="ＭＳ 明朝" w:eastAsia="ＭＳ 明朝" w:hAnsi="ＭＳ 明朝" w:cs="Times New Roman" w:hint="eastAsia"/>
          <w:b/>
          <w:sz w:val="24"/>
          <w:szCs w:val="24"/>
        </w:rPr>
        <w:t>説明変数，ひとめぼれの収量</w:t>
      </w:r>
      <w:r w:rsidRPr="004C66C1">
        <w:rPr>
          <w:rFonts w:ascii="ＭＳ 明朝" w:eastAsia="ＭＳ 明朝" w:hAnsi="ＭＳ 明朝" w:cs="Times New Roman"/>
          <w:b/>
          <w:sz w:val="24"/>
          <w:szCs w:val="24"/>
        </w:rPr>
        <w:t>を</w:t>
      </w:r>
      <w:r w:rsidRPr="004C66C1">
        <w:rPr>
          <w:rFonts w:ascii="ＭＳ 明朝" w:eastAsia="ＭＳ 明朝" w:hAnsi="ＭＳ 明朝" w:cs="Times New Roman" w:hint="eastAsia"/>
          <w:b/>
          <w:sz w:val="24"/>
          <w:szCs w:val="24"/>
        </w:rPr>
        <w:t>目的変数とした重回帰分析結果．</w:t>
      </w:r>
    </w:p>
    <w:p w:rsidR="004C66C1" w:rsidRPr="004C66C1" w:rsidRDefault="004C66C1" w:rsidP="004C66C1">
      <w:pPr>
        <w:rPr>
          <w:rFonts w:ascii="ＭＳ 明朝" w:eastAsia="ＭＳ 明朝" w:hAnsi="ＭＳ 明朝" w:cs="Times New Roman"/>
          <w:sz w:val="24"/>
          <w:szCs w:val="24"/>
        </w:rPr>
      </w:pPr>
      <w:r w:rsidRPr="004C66C1">
        <w:rPr>
          <w:rFonts w:ascii="ＭＳ 明朝" w:eastAsia="ＭＳ 明朝" w:hAnsi="ＭＳ 明朝" w:cs="Times New Roman" w:hint="eastAsia"/>
          <w:sz w:val="24"/>
          <w:szCs w:val="24"/>
        </w:rPr>
        <w:t xml:space="preserve">　　収量 = 11.6805*(E)-0.7735*(F)+462.1620</w:t>
      </w:r>
    </w:p>
    <w:p w:rsidR="002A295D" w:rsidRPr="004C66C1" w:rsidRDefault="004C66C1">
      <w:pPr>
        <w:rPr>
          <w:rFonts w:ascii="ＭＳ 明朝" w:eastAsia="ＭＳ 明朝" w:hAnsi="ＭＳ 明朝" w:cs="Times New Roman" w:hint="eastAsia"/>
          <w:sz w:val="16"/>
          <w:szCs w:val="16"/>
        </w:rPr>
      </w:pPr>
      <w:r w:rsidRPr="004C66C1">
        <w:rPr>
          <w:rFonts w:ascii="ＭＳ 明朝" w:eastAsia="ＭＳ 明朝" w:hAnsi="ＭＳ 明朝" w:cs="Times New Roman" w:hint="eastAsia"/>
          <w:sz w:val="16"/>
          <w:szCs w:val="16"/>
        </w:rPr>
        <w:t>データ数15，寄与率</w:t>
      </w:r>
      <w:r w:rsidRPr="004C66C1">
        <w:rPr>
          <w:rFonts w:ascii="ＭＳ 明朝" w:eastAsia="ＭＳ 明朝" w:hAnsi="ＭＳ 明朝" w:cs="Times New Roman"/>
          <w:sz w:val="16"/>
          <w:szCs w:val="16"/>
        </w:rPr>
        <w:t>0.</w:t>
      </w:r>
      <w:r w:rsidRPr="004C66C1">
        <w:rPr>
          <w:rFonts w:ascii="ＭＳ 明朝" w:eastAsia="ＭＳ 明朝" w:hAnsi="ＭＳ 明朝" w:cs="Times New Roman" w:hint="eastAsia"/>
          <w:sz w:val="16"/>
          <w:szCs w:val="16"/>
        </w:rPr>
        <w:t>479</w:t>
      </w:r>
      <w:r w:rsidRPr="004C66C1">
        <w:rPr>
          <w:rFonts w:ascii="ＭＳ 明朝" w:eastAsia="ＭＳ 明朝" w:hAnsi="ＭＳ 明朝" w:cs="Times New Roman"/>
          <w:sz w:val="16"/>
          <w:szCs w:val="16"/>
        </w:rPr>
        <w:t>，</w:t>
      </w:r>
      <w:r w:rsidRPr="004C66C1">
        <w:rPr>
          <w:rFonts w:ascii="ＭＳ 明朝" w:eastAsia="ＭＳ 明朝" w:hAnsi="ＭＳ 明朝" w:cs="Times New Roman" w:hint="eastAsia"/>
          <w:sz w:val="16"/>
          <w:szCs w:val="16"/>
        </w:rPr>
        <w:t>重相関係数(R2</w:t>
      </w:r>
      <w:r w:rsidRPr="004C66C1">
        <w:rPr>
          <w:rFonts w:ascii="ＭＳ 明朝" w:eastAsia="ＭＳ 明朝" w:hAnsi="ＭＳ 明朝" w:cs="Times New Roman"/>
          <w:sz w:val="16"/>
          <w:szCs w:val="16"/>
        </w:rPr>
        <w:t>) 0.</w:t>
      </w:r>
      <w:r w:rsidRPr="004C66C1">
        <w:rPr>
          <w:rFonts w:ascii="ＭＳ 明朝" w:eastAsia="ＭＳ 明朝" w:hAnsi="ＭＳ 明朝" w:cs="Times New Roman" w:hint="eastAsia"/>
          <w:sz w:val="16"/>
          <w:szCs w:val="16"/>
        </w:rPr>
        <w:t>692</w:t>
      </w:r>
      <w:r w:rsidRPr="004C66C1">
        <w:rPr>
          <w:rFonts w:ascii="ＭＳ 明朝" w:eastAsia="ＭＳ 明朝" w:hAnsi="ＭＳ 明朝" w:cs="Times New Roman"/>
          <w:sz w:val="16"/>
          <w:szCs w:val="16"/>
        </w:rPr>
        <w:t>，</w:t>
      </w:r>
      <w:r w:rsidRPr="004C66C1">
        <w:rPr>
          <w:rFonts w:ascii="ＭＳ 明朝" w:eastAsia="ＭＳ 明朝" w:hAnsi="ＭＳ 明朝" w:cs="Times New Roman" w:hint="eastAsia"/>
          <w:sz w:val="16"/>
          <w:szCs w:val="16"/>
        </w:rPr>
        <w:t>自由度調整</w:t>
      </w:r>
      <w:r w:rsidRPr="004C66C1">
        <w:rPr>
          <w:rFonts w:ascii="ＭＳ 明朝" w:eastAsia="ＭＳ 明朝" w:hAnsi="ＭＳ 明朝" w:cs="Times New Roman"/>
          <w:sz w:val="16"/>
          <w:szCs w:val="16"/>
        </w:rPr>
        <w:t>済</w:t>
      </w:r>
      <w:r w:rsidRPr="004C66C1">
        <w:rPr>
          <w:rFonts w:ascii="ＭＳ 明朝" w:eastAsia="ＭＳ 明朝" w:hAnsi="ＭＳ 明朝" w:cs="Times New Roman" w:hint="eastAsia"/>
          <w:sz w:val="16"/>
          <w:szCs w:val="16"/>
        </w:rPr>
        <w:t>決定係数</w:t>
      </w:r>
      <w:r w:rsidRPr="004C66C1">
        <w:rPr>
          <w:rFonts w:ascii="ＭＳ 明朝" w:eastAsia="ＭＳ 明朝" w:hAnsi="ＭＳ 明朝" w:cs="Times New Roman"/>
          <w:sz w:val="16"/>
          <w:szCs w:val="16"/>
        </w:rPr>
        <w:t xml:space="preserve">　0.</w:t>
      </w:r>
      <w:r w:rsidRPr="004C66C1">
        <w:rPr>
          <w:rFonts w:ascii="ＭＳ 明朝" w:eastAsia="ＭＳ 明朝" w:hAnsi="ＭＳ 明朝" w:cs="Times New Roman" w:hint="eastAsia"/>
          <w:sz w:val="16"/>
          <w:szCs w:val="16"/>
        </w:rPr>
        <w:t>626，残差正規性</w:t>
      </w:r>
      <w:r w:rsidRPr="004C66C1">
        <w:rPr>
          <w:rFonts w:ascii="ＭＳ 明朝" w:eastAsia="ＭＳ 明朝" w:hAnsi="ＭＳ 明朝" w:cs="Times New Roman"/>
          <w:sz w:val="16"/>
          <w:szCs w:val="16"/>
        </w:rPr>
        <w:t>の</w:t>
      </w:r>
      <w:r w:rsidRPr="004C66C1">
        <w:rPr>
          <w:rFonts w:ascii="ＭＳ 明朝" w:eastAsia="ＭＳ 明朝" w:hAnsi="ＭＳ 明朝" w:cs="Times New Roman" w:hint="eastAsia"/>
          <w:sz w:val="16"/>
          <w:szCs w:val="16"/>
        </w:rPr>
        <w:t>SW検定確率</w:t>
      </w:r>
      <w:r w:rsidRPr="004C66C1">
        <w:rPr>
          <w:rFonts w:ascii="ＭＳ 明朝" w:eastAsia="ＭＳ 明朝" w:hAnsi="ＭＳ 明朝" w:cs="Times New Roman"/>
          <w:sz w:val="16"/>
          <w:szCs w:val="16"/>
        </w:rPr>
        <w:t>0.</w:t>
      </w:r>
      <w:r w:rsidRPr="004C66C1">
        <w:rPr>
          <w:rFonts w:ascii="ＭＳ 明朝" w:eastAsia="ＭＳ 明朝" w:hAnsi="ＭＳ 明朝" w:cs="Times New Roman" w:hint="eastAsia"/>
          <w:sz w:val="16"/>
          <w:szCs w:val="16"/>
        </w:rPr>
        <w:t xml:space="preserve">8915,　</w:t>
      </w:r>
      <w:r w:rsidRPr="004C66C1">
        <w:rPr>
          <w:rFonts w:ascii="ＭＳ 明朝" w:eastAsia="ＭＳ 明朝" w:hAnsi="ＭＳ 明朝" w:cs="Times New Roman"/>
          <w:sz w:val="16"/>
          <w:szCs w:val="16"/>
        </w:rPr>
        <w:t>残渣の正規性あり</w:t>
      </w:r>
      <w:r w:rsidRPr="004C66C1">
        <w:rPr>
          <w:rFonts w:ascii="ＭＳ 明朝" w:eastAsia="ＭＳ 明朝" w:hAnsi="ＭＳ 明朝" w:cs="Times New Roman" w:hint="eastAsia"/>
          <w:sz w:val="16"/>
          <w:szCs w:val="16"/>
        </w:rPr>
        <w:t xml:space="preserve">とみなす．　</w:t>
      </w:r>
      <w:r w:rsidRPr="004C66C1">
        <w:rPr>
          <w:rFonts w:ascii="ＭＳ 明朝" w:eastAsia="ＭＳ 明朝" w:hAnsi="ＭＳ 明朝" w:cs="Times New Roman"/>
          <w:sz w:val="16"/>
          <w:szCs w:val="16"/>
        </w:rPr>
        <w:t>重回帰式の</w:t>
      </w:r>
      <w:r w:rsidRPr="004C66C1">
        <w:rPr>
          <w:rFonts w:ascii="ＭＳ 明朝" w:eastAsia="ＭＳ 明朝" w:hAnsi="ＭＳ 明朝" w:cs="Times New Roman" w:hint="eastAsia"/>
          <w:sz w:val="16"/>
          <w:szCs w:val="16"/>
        </w:rPr>
        <w:t>検定利用可能と</w:t>
      </w:r>
      <w:r w:rsidRPr="004C66C1">
        <w:rPr>
          <w:rFonts w:ascii="ＭＳ 明朝" w:eastAsia="ＭＳ 明朝" w:hAnsi="ＭＳ 明朝" w:cs="Times New Roman"/>
          <w:sz w:val="16"/>
          <w:szCs w:val="16"/>
        </w:rPr>
        <w:t>みなす．</w:t>
      </w:r>
      <w:r w:rsidRPr="004C66C1">
        <w:rPr>
          <w:rFonts w:ascii="ＭＳ 明朝" w:eastAsia="ＭＳ 明朝" w:hAnsi="ＭＳ 明朝" w:cs="Times New Roman" w:hint="eastAsia"/>
          <w:sz w:val="16"/>
          <w:szCs w:val="16"/>
        </w:rPr>
        <w:t>重回帰式の</w:t>
      </w:r>
      <w:r w:rsidRPr="004C66C1">
        <w:rPr>
          <w:rFonts w:ascii="ＭＳ 明朝" w:eastAsia="ＭＳ 明朝" w:hAnsi="ＭＳ 明朝" w:cs="Times New Roman"/>
          <w:sz w:val="16"/>
          <w:szCs w:val="16"/>
        </w:rPr>
        <w:t>有効性の検定　F</w:t>
      </w:r>
      <w:r w:rsidRPr="004C66C1">
        <w:rPr>
          <w:rFonts w:ascii="ＭＳ 明朝" w:eastAsia="ＭＳ 明朝" w:hAnsi="ＭＳ 明朝" w:cs="Times New Roman" w:hint="eastAsia"/>
          <w:sz w:val="16"/>
          <w:szCs w:val="16"/>
        </w:rPr>
        <w:t>検定値</w:t>
      </w:r>
      <w:r w:rsidRPr="004C66C1">
        <w:rPr>
          <w:rFonts w:ascii="ＭＳ 明朝" w:eastAsia="ＭＳ 明朝" w:hAnsi="ＭＳ 明朝" w:cs="Times New Roman"/>
          <w:sz w:val="16"/>
          <w:szCs w:val="16"/>
        </w:rPr>
        <w:t xml:space="preserve">　5.5186</w:t>
      </w:r>
      <w:r w:rsidRPr="004C66C1">
        <w:rPr>
          <w:rFonts w:ascii="ＭＳ 明朝" w:eastAsia="ＭＳ 明朝" w:hAnsi="ＭＳ 明朝" w:cs="Times New Roman" w:hint="eastAsia"/>
          <w:sz w:val="16"/>
          <w:szCs w:val="16"/>
        </w:rPr>
        <w:t>，</w:t>
      </w:r>
      <w:r w:rsidRPr="004C66C1">
        <w:rPr>
          <w:rFonts w:ascii="ＭＳ 明朝" w:eastAsia="ＭＳ 明朝" w:hAnsi="ＭＳ 明朝" w:cs="Times New Roman"/>
          <w:sz w:val="16"/>
          <w:szCs w:val="16"/>
        </w:rPr>
        <w:t>自由度　2</w:t>
      </w:r>
      <w:r w:rsidRPr="004C66C1">
        <w:rPr>
          <w:rFonts w:ascii="ＭＳ 明朝" w:eastAsia="ＭＳ 明朝" w:hAnsi="ＭＳ 明朝" w:cs="Times New Roman" w:hint="eastAsia"/>
          <w:sz w:val="16"/>
          <w:szCs w:val="16"/>
        </w:rPr>
        <w:t>,</w:t>
      </w:r>
      <w:r w:rsidRPr="004C66C1">
        <w:rPr>
          <w:rFonts w:ascii="ＭＳ 明朝" w:eastAsia="ＭＳ 明朝" w:hAnsi="ＭＳ 明朝" w:cs="Times New Roman"/>
          <w:sz w:val="16"/>
          <w:szCs w:val="16"/>
        </w:rPr>
        <w:t xml:space="preserve"> 12</w:t>
      </w:r>
      <w:r w:rsidRPr="004C66C1">
        <w:rPr>
          <w:rFonts w:ascii="ＭＳ 明朝" w:eastAsia="ＭＳ 明朝" w:hAnsi="ＭＳ 明朝" w:cs="Times New Roman" w:hint="eastAsia"/>
          <w:sz w:val="16"/>
          <w:szCs w:val="16"/>
        </w:rPr>
        <w:t>，</w:t>
      </w:r>
      <w:r w:rsidRPr="004C66C1">
        <w:rPr>
          <w:rFonts w:ascii="ＭＳ 明朝" w:eastAsia="ＭＳ 明朝" w:hAnsi="ＭＳ 明朝" w:cs="Times New Roman"/>
          <w:sz w:val="16"/>
          <w:szCs w:val="16"/>
        </w:rPr>
        <w:t>確率値　0.020</w:t>
      </w:r>
      <w:r w:rsidRPr="004C66C1">
        <w:rPr>
          <w:rFonts w:ascii="ＭＳ 明朝" w:eastAsia="ＭＳ 明朝" w:hAnsi="ＭＳ 明朝" w:cs="Times New Roman" w:hint="eastAsia"/>
          <w:sz w:val="16"/>
          <w:szCs w:val="16"/>
        </w:rPr>
        <w:t>，</w:t>
      </w:r>
      <w:r w:rsidRPr="004C66C1">
        <w:rPr>
          <w:rFonts w:ascii="ＭＳ 明朝" w:eastAsia="ＭＳ 明朝" w:hAnsi="ＭＳ 明朝" w:cs="Times New Roman"/>
          <w:sz w:val="16"/>
          <w:szCs w:val="16"/>
        </w:rPr>
        <w:t>重回帰式は有効であるといえる．</w:t>
      </w:r>
      <w:r w:rsidRPr="004C66C1">
        <w:rPr>
          <w:rFonts w:ascii="ＭＳ 明朝" w:eastAsia="ＭＳ 明朝" w:hAnsi="ＭＳ 明朝" w:cs="Times New Roman" w:hint="eastAsia"/>
          <w:sz w:val="16"/>
          <w:szCs w:val="16"/>
        </w:rPr>
        <w:t xml:space="preserve">　</w:t>
      </w:r>
      <w:r w:rsidRPr="004C66C1">
        <w:rPr>
          <w:rFonts w:ascii="ＭＳ 明朝" w:eastAsia="ＭＳ 明朝" w:hAnsi="ＭＳ 明朝" w:cs="Times New Roman"/>
          <w:sz w:val="16"/>
          <w:szCs w:val="16"/>
        </w:rPr>
        <w:t>AIC</w:t>
      </w:r>
      <w:r w:rsidRPr="004C66C1">
        <w:rPr>
          <w:rFonts w:ascii="ＭＳ 明朝" w:eastAsia="ＭＳ 明朝" w:hAnsi="ＭＳ 明朝" w:cs="Times New Roman" w:hint="eastAsia"/>
          <w:sz w:val="16"/>
          <w:szCs w:val="16"/>
        </w:rPr>
        <w:t xml:space="preserve">　</w:t>
      </w:r>
      <w:r w:rsidRPr="004C66C1">
        <w:rPr>
          <w:rFonts w:ascii="ＭＳ 明朝" w:eastAsia="ＭＳ 明朝" w:hAnsi="ＭＳ 明朝" w:cs="Times New Roman"/>
          <w:sz w:val="16"/>
          <w:szCs w:val="16"/>
        </w:rPr>
        <w:t>142.756</w:t>
      </w:r>
      <w:r w:rsidRPr="004C66C1">
        <w:rPr>
          <w:rFonts w:ascii="ＭＳ 明朝" w:eastAsia="ＭＳ 明朝" w:hAnsi="ＭＳ 明朝" w:cs="Times New Roman" w:hint="eastAsia"/>
          <w:sz w:val="16"/>
          <w:szCs w:val="16"/>
        </w:rPr>
        <w:t xml:space="preserve">，DW比　</w:t>
      </w:r>
      <w:r w:rsidRPr="004C66C1">
        <w:rPr>
          <w:rFonts w:ascii="ＭＳ 明朝" w:eastAsia="ＭＳ 明朝" w:hAnsi="ＭＳ 明朝" w:cs="Times New Roman"/>
          <w:sz w:val="16"/>
          <w:szCs w:val="16"/>
        </w:rPr>
        <w:t>1.715</w:t>
      </w:r>
      <w:r w:rsidRPr="004C66C1">
        <w:rPr>
          <w:rFonts w:ascii="ＭＳ 明朝" w:eastAsia="ＭＳ 明朝" w:hAnsi="ＭＳ 明朝" w:cs="Times New Roman" w:hint="eastAsia"/>
          <w:sz w:val="16"/>
          <w:szCs w:val="16"/>
        </w:rPr>
        <w:t xml:space="preserve">，　</w:t>
      </w:r>
      <w:r w:rsidRPr="004C66C1">
        <w:rPr>
          <w:rFonts w:ascii="ＭＳ 明朝" w:eastAsia="ＭＳ 明朝" w:hAnsi="ＭＳ 明朝" w:cs="Times New Roman"/>
          <w:sz w:val="16"/>
          <w:szCs w:val="16"/>
        </w:rPr>
        <w:t>VIF</w:t>
      </w:r>
      <w:r w:rsidRPr="004C66C1">
        <w:rPr>
          <w:rFonts w:ascii="ＭＳ 明朝" w:eastAsia="ＭＳ 明朝" w:hAnsi="ＭＳ 明朝" w:cs="Times New Roman" w:hint="eastAsia"/>
          <w:sz w:val="16"/>
          <w:szCs w:val="16"/>
        </w:rPr>
        <w:t>値</w:t>
      </w:r>
      <w:r w:rsidRPr="004C66C1">
        <w:rPr>
          <w:rFonts w:ascii="ＭＳ 明朝" w:eastAsia="ＭＳ 明朝" w:hAnsi="ＭＳ 明朝" w:cs="Times New Roman"/>
          <w:sz w:val="16"/>
          <w:szCs w:val="16"/>
        </w:rPr>
        <w:t xml:space="preserve">　</w:t>
      </w:r>
      <w:r w:rsidRPr="004C66C1">
        <w:rPr>
          <w:rFonts w:ascii="ＭＳ 明朝" w:eastAsia="ＭＳ 明朝" w:hAnsi="ＭＳ 明朝" w:cs="Times New Roman" w:hint="eastAsia"/>
          <w:sz w:val="16"/>
          <w:szCs w:val="16"/>
        </w:rPr>
        <w:t>共に1.127，　標準化係数</w:t>
      </w:r>
      <w:r w:rsidRPr="004C66C1">
        <w:rPr>
          <w:rFonts w:ascii="ＭＳ 明朝" w:eastAsia="ＭＳ 明朝" w:hAnsi="ＭＳ 明朝" w:cs="Times New Roman"/>
          <w:sz w:val="16"/>
          <w:szCs w:val="16"/>
        </w:rPr>
        <w:t>： (E)</w:t>
      </w:r>
      <w:r w:rsidRPr="004C66C1">
        <w:rPr>
          <w:rFonts w:ascii="ＭＳ 明朝" w:eastAsia="ＭＳ 明朝" w:hAnsi="ＭＳ 明朝" w:cs="Times New Roman" w:hint="eastAsia"/>
          <w:sz w:val="16"/>
          <w:szCs w:val="16"/>
        </w:rPr>
        <w:t>；0.</w:t>
      </w:r>
      <w:r w:rsidRPr="004C66C1">
        <w:rPr>
          <w:rFonts w:ascii="ＭＳ 明朝" w:eastAsia="ＭＳ 明朝" w:hAnsi="ＭＳ 明朝" w:cs="Times New Roman"/>
          <w:sz w:val="16"/>
          <w:szCs w:val="16"/>
        </w:rPr>
        <w:t>7341</w:t>
      </w:r>
      <w:r w:rsidRPr="004C66C1">
        <w:rPr>
          <w:rFonts w:ascii="ＭＳ 明朝" w:eastAsia="ＭＳ 明朝" w:hAnsi="ＭＳ 明朝" w:cs="Times New Roman" w:hint="eastAsia"/>
          <w:sz w:val="16"/>
          <w:szCs w:val="16"/>
        </w:rPr>
        <w:t>，(F)；-0.2751</w:t>
      </w:r>
    </w:p>
    <w:sectPr w:rsidR="002A295D" w:rsidRPr="004C66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C1"/>
    <w:rsid w:val="00113A00"/>
    <w:rsid w:val="002A295D"/>
    <w:rsid w:val="004C66C1"/>
    <w:rsid w:val="00F5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5C0050"/>
  <w15:chartTrackingRefBased/>
  <w15:docId w15:val="{95E948A9-E3C9-4742-A6D1-82E014E3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ひとめぼれ!$M$1</c:f>
              <c:strCache>
                <c:ptCount val="1"/>
                <c:pt idx="0">
                  <c:v>重回帰式より算出した収量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7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dLbls>
            <c:dLbl>
              <c:idx val="0"/>
              <c:tx>
                <c:rich>
                  <a:bodyPr/>
                  <a:lstStyle/>
                  <a:p>
                    <a:fld id="{EB14BC87-2AFB-447E-B6F9-140D03167E63}" type="CELLRANGE">
                      <a:rPr lang="en-US" altLang="ja-JP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0-382E-4E6A-88F1-EEC5C7B9489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altLang="ja-JP"/>
                      <a:t>210-B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382E-4E6A-88F1-EEC5C7B9489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3AC41CC8-6C62-494B-B1D6-FAC10A02C2E7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2-382E-4E6A-88F1-EEC5C7B9489D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altLang="ja-JP"/>
                      <a:t>211-B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382E-4E6A-88F1-EEC5C7B9489D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32BABBBD-DDE3-4B8B-81C2-53109C5BF20B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4-382E-4E6A-88F1-EEC5C7B9489D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altLang="ja-JP"/>
                      <a:t>212-B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382E-4E6A-88F1-EEC5C7B9489D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747CB307-E8B9-42BF-9D3A-229487E97A3B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6-382E-4E6A-88F1-EEC5C7B9489D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9922DE03-7C26-4B11-8C0D-80837BDAEDE0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7-382E-4E6A-88F1-EEC5C7B9489D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 altLang="ja-JP"/>
                      <a:t>214-B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382E-4E6A-88F1-EEC5C7B9489D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fld id="{8E27A384-4DFD-48B9-8E39-5B02D303289D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9-382E-4E6A-88F1-EEC5C7B9489D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 altLang="ja-JP"/>
                      <a:t>215-B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382E-4E6A-88F1-EEC5C7B9489D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fld id="{62AF1F91-28AD-4040-932A-3E47B21A32B2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B-382E-4E6A-88F1-EEC5C7B9489D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 altLang="ja-JP"/>
                      <a:t>216-B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382E-4E6A-88F1-EEC5C7B9489D}"/>
                </c:ext>
              </c:extLst>
            </c:dLbl>
            <c:dLbl>
              <c:idx val="13"/>
              <c:tx>
                <c:rich>
                  <a:bodyPr/>
                  <a:lstStyle/>
                  <a:p>
                    <a:fld id="{9593E437-463F-4F0F-9E92-8664066FCC6A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D-382E-4E6A-88F1-EEC5C7B9489D}"/>
                </c:ext>
              </c:extLst>
            </c:dLbl>
            <c:dLbl>
              <c:idx val="14"/>
              <c:tx>
                <c:rich>
                  <a:bodyPr/>
                  <a:lstStyle/>
                  <a:p>
                    <a:r>
                      <a:rPr lang="en-US" altLang="ja-JP"/>
                      <a:t>217-B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382E-4E6A-88F1-EEC5C7B948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0"/>
              </c:ext>
            </c:extLst>
          </c:dLbls>
          <c:xVal>
            <c:numRef>
              <c:f>ひとめぼれ!$L$38:$L$52</c:f>
              <c:numCache>
                <c:formatCode>0_ ;[Red]\-0\ </c:formatCode>
                <c:ptCount val="15"/>
                <c:pt idx="0">
                  <c:v>487</c:v>
                </c:pt>
                <c:pt idx="1">
                  <c:v>477.3</c:v>
                </c:pt>
                <c:pt idx="2">
                  <c:v>496</c:v>
                </c:pt>
                <c:pt idx="3">
                  <c:v>490</c:v>
                </c:pt>
                <c:pt idx="4">
                  <c:v>531</c:v>
                </c:pt>
                <c:pt idx="5">
                  <c:v>522.5</c:v>
                </c:pt>
                <c:pt idx="6">
                  <c:v>535</c:v>
                </c:pt>
                <c:pt idx="7">
                  <c:v>535</c:v>
                </c:pt>
                <c:pt idx="8">
                  <c:v>523.9</c:v>
                </c:pt>
                <c:pt idx="9">
                  <c:v>495</c:v>
                </c:pt>
                <c:pt idx="10">
                  <c:v>544</c:v>
                </c:pt>
                <c:pt idx="11">
                  <c:v>540</c:v>
                </c:pt>
                <c:pt idx="12">
                  <c:v>536</c:v>
                </c:pt>
                <c:pt idx="13">
                  <c:v>584</c:v>
                </c:pt>
                <c:pt idx="14">
                  <c:v>590</c:v>
                </c:pt>
              </c:numCache>
            </c:numRef>
          </c:xVal>
          <c:yVal>
            <c:numRef>
              <c:f>ひとめぼれ!$M$38:$M$52</c:f>
              <c:numCache>
                <c:formatCode>0_ </c:formatCode>
                <c:ptCount val="15"/>
                <c:pt idx="0">
                  <c:v>512.66272816088917</c:v>
                </c:pt>
                <c:pt idx="1">
                  <c:v>489.92759451106519</c:v>
                </c:pt>
                <c:pt idx="2">
                  <c:v>530.73361007491326</c:v>
                </c:pt>
                <c:pt idx="3">
                  <c:v>508.5312986658634</c:v>
                </c:pt>
                <c:pt idx="4">
                  <c:v>528.82181382046588</c:v>
                </c:pt>
                <c:pt idx="5">
                  <c:v>503.81812382616363</c:v>
                </c:pt>
                <c:pt idx="6">
                  <c:v>543.61858779669581</c:v>
                </c:pt>
                <c:pt idx="7">
                  <c:v>516.5583614837833</c:v>
                </c:pt>
                <c:pt idx="8">
                  <c:v>507.48713095675026</c:v>
                </c:pt>
                <c:pt idx="9">
                  <c:v>527.94997388370791</c:v>
                </c:pt>
                <c:pt idx="10">
                  <c:v>513.69496781628607</c:v>
                </c:pt>
                <c:pt idx="11">
                  <c:v>546.74090557085117</c:v>
                </c:pt>
                <c:pt idx="12">
                  <c:v>531.20845822404056</c:v>
                </c:pt>
                <c:pt idx="13">
                  <c:v>585.14819051215704</c:v>
                </c:pt>
                <c:pt idx="14">
                  <c:v>540.08830252135533</c:v>
                </c:pt>
              </c:numCache>
            </c:numRef>
          </c:yVal>
          <c:smooth val="0"/>
          <c:extLst>
            <c:ext xmlns:c15="http://schemas.microsoft.com/office/drawing/2012/chart" uri="{02D57815-91ED-43cb-92C2-25804820EDAC}">
              <c15:datalabelsRange>
                <c15:f>ひとめぼれ!$A$38:$A$52</c15:f>
                <c15:dlblRangeCache>
                  <c:ptCount val="15"/>
                  <c:pt idx="0">
                    <c:v>210-A</c:v>
                  </c:pt>
                  <c:pt idx="1">
                    <c:v>210-C</c:v>
                  </c:pt>
                  <c:pt idx="2">
                    <c:v>211-A</c:v>
                  </c:pt>
                  <c:pt idx="3">
                    <c:v>211-C</c:v>
                  </c:pt>
                  <c:pt idx="4">
                    <c:v>212-A</c:v>
                  </c:pt>
                  <c:pt idx="5">
                    <c:v>212-C</c:v>
                  </c:pt>
                  <c:pt idx="6">
                    <c:v>213-A</c:v>
                  </c:pt>
                  <c:pt idx="7">
                    <c:v>214-A</c:v>
                  </c:pt>
                  <c:pt idx="8">
                    <c:v>214-C</c:v>
                  </c:pt>
                  <c:pt idx="9">
                    <c:v>215-A</c:v>
                  </c:pt>
                  <c:pt idx="10">
                    <c:v>215-C</c:v>
                  </c:pt>
                  <c:pt idx="11">
                    <c:v>216-A</c:v>
                  </c:pt>
                  <c:pt idx="12">
                    <c:v>216-C</c:v>
                  </c:pt>
                  <c:pt idx="13">
                    <c:v>217-A</c:v>
                  </c:pt>
                  <c:pt idx="14">
                    <c:v>217-C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F-382E-4E6A-88F1-EEC5C7B948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41122512"/>
        <c:axId val="841117024"/>
      </c:scatterChart>
      <c:valAx>
        <c:axId val="841122512"/>
        <c:scaling>
          <c:orientation val="minMax"/>
          <c:max val="600"/>
          <c:min val="47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 ;[Red]\-0\ 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841117024"/>
        <c:crosses val="autoZero"/>
        <c:crossBetween val="midCat"/>
      </c:valAx>
      <c:valAx>
        <c:axId val="841117024"/>
        <c:scaling>
          <c:orientation val="minMax"/>
          <c:max val="600"/>
          <c:min val="4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 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84112251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0.06801</cdr:x>
      <cdr:y>0.0371</cdr:y>
    </cdr:from>
    <cdr:to>
      <cdr:x>0.93571</cdr:x>
      <cdr:y>0.95614</cdr:y>
    </cdr:to>
    <cdr:cxnSp macro="">
      <cdr:nvCxnSpPr>
        <cdr:cNvPr id="3" name="直線コネクタ 2"/>
        <cdr:cNvCxnSpPr/>
      </cdr:nvCxnSpPr>
      <cdr:spPr>
        <a:xfrm xmlns:a="http://schemas.openxmlformats.org/drawingml/2006/main" flipH="1">
          <a:off x="419100" y="241710"/>
          <a:ext cx="5347377" cy="598764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游ゴシック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游明朝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好弘 橋本</dc:creator>
  <cp:keywords/>
  <dc:description/>
  <cp:lastModifiedBy>好弘 橋本</cp:lastModifiedBy>
  <cp:revision>1</cp:revision>
  <dcterms:created xsi:type="dcterms:W3CDTF">2023-06-15T05:07:00Z</dcterms:created>
  <dcterms:modified xsi:type="dcterms:W3CDTF">2023-06-15T05:10:00Z</dcterms:modified>
</cp:coreProperties>
</file>